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  <w:r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-922020</wp:posOffset>
            </wp:positionV>
            <wp:extent cx="7586345" cy="10730865"/>
            <wp:effectExtent l="0" t="0" r="8255" b="13335"/>
            <wp:wrapNone/>
            <wp:docPr id="3" name="图片 3" descr="E3C6E7CBFAF98DA5E739717B0DB6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3C6E7CBFAF98DA5E739717B0DB630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86345" cy="1073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基于区块链的</w:t>
      </w:r>
    </w:p>
    <w:p>
      <w:pPr>
        <w:jc w:val="center"/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jc w:val="center"/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概要介绍</w:t>
      </w: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  <w:lang w:eastAsia="zh-CN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both"/>
        <w:rPr>
          <w:rFonts w:hint="default" w:ascii="Times New Roman Regular" w:hAnsi="Times New Roman Regular" w:eastAsia="宋体" w:cs="Times New Roman Regular"/>
          <w:b/>
          <w:bCs/>
          <w:sz w:val="72"/>
          <w:szCs w:val="72"/>
        </w:rPr>
      </w:pPr>
    </w:p>
    <w:p>
      <w:pPr>
        <w:jc w:val="center"/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r>
        <w:rPr>
          <w:rFonts w:hint="default" w:ascii="Times New Roman Regular" w:hAnsi="Times New Roman Regular" w:eastAsia="楷体" w:cs="Times New Roman Regular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jc w:val="both"/>
        <w:rPr>
          <w:rFonts w:hint="default" w:ascii="Times New Roman Regular" w:hAnsi="Times New Roman Regular" w:eastAsia="宋体" w:cs="Times New Roman Regular"/>
          <w:b/>
          <w:bCs/>
          <w:sz w:val="36"/>
          <w:szCs w:val="36"/>
        </w:rPr>
      </w:pPr>
    </w:p>
    <w:p>
      <w:pPr>
        <w:jc w:val="center"/>
        <w:rPr>
          <w:rFonts w:hint="default" w:ascii="Times New Roman Regular" w:hAnsi="Times New Roman Regular" w:eastAsia="楷体" w:cs="Times New Roman Regular"/>
          <w:b/>
          <w:bCs/>
          <w:sz w:val="48"/>
          <w:szCs w:val="48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b/>
          <w:bCs/>
          <w:sz w:val="48"/>
          <w:szCs w:val="48"/>
          <w:lang w:val="en-US" w:eastAsia="zh-CN"/>
        </w:rPr>
        <w:t>目录</w:t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TOC \o "1-3" \h \z \u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_Toc1430632096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t>1</w:t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前言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_Toc1430632096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1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_Toc1406725660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t>2</w:t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创意描述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_Toc1406725660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1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_Toc1190697797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t>3</w:t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功能简介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_Toc1190697797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1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_Toc1805251433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t>4</w:t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特色综述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_Toc1805251433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2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_Toc1211869615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t>5</w:t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开发工具与技术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_Toc1211869615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3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_Toc1157711157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6应用对象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_Toc1157711157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3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_Toc1449573879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7应用环境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_Toc1449573879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3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pStyle w:val="11"/>
        <w:tabs>
          <w:tab w:val="right" w:leader="dot" w:pos="8306"/>
        </w:tabs>
        <w:rPr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begin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instrText xml:space="preserve"> HYPERLINK \l _Toc1933692785 </w:instrText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separate"/>
      </w:r>
      <w:r>
        <w:rPr>
          <w:rFonts w:hint="default" w:ascii="Times New Roman Regular" w:hAnsi="Times New Roman Regular" w:eastAsia="楷体" w:cs="Times New Roman Regular"/>
          <w:sz w:val="36"/>
          <w:szCs w:val="36"/>
          <w:lang w:val="en-US" w:eastAsia="zh-CN"/>
        </w:rPr>
        <w:t>8结语</w:t>
      </w:r>
      <w:r>
        <w:rPr>
          <w:sz w:val="36"/>
          <w:szCs w:val="36"/>
        </w:rPr>
        <w:tab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PAGEREF _Toc1933692785 \h 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>4</w:t>
      </w:r>
      <w:r>
        <w:rPr>
          <w:sz w:val="36"/>
          <w:szCs w:val="36"/>
        </w:rPr>
        <w:fldChar w:fldCharType="end"/>
      </w: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jc w:val="center"/>
        <w:rPr>
          <w:rFonts w:hint="default" w:ascii="Times New Roman Regular" w:hAnsi="Times New Roman Regular" w:eastAsia="宋体" w:cs="Times New Roman Regular"/>
          <w:sz w:val="36"/>
          <w:szCs w:val="36"/>
        </w:rPr>
      </w:pPr>
      <w:r>
        <w:rPr>
          <w:rFonts w:hint="default" w:ascii="Times New Roman Regular" w:hAnsi="Times New Roman Regular" w:eastAsia="楷体" w:cs="Times New Roman Regular"/>
          <w:sz w:val="36"/>
          <w:szCs w:val="36"/>
        </w:rPr>
        <w:fldChar w:fldCharType="end"/>
      </w:r>
    </w:p>
    <w:p>
      <w:pPr>
        <w:jc w:val="center"/>
        <w:rPr>
          <w:rFonts w:hint="default" w:ascii="Times New Roman Regular" w:hAnsi="Times New Roman Regular" w:eastAsia="宋体" w:cs="Times New Roman Regular"/>
          <w:sz w:val="30"/>
          <w:szCs w:val="30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sz w:val="30"/>
          <w:szCs w:val="30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sz w:val="30"/>
          <w:szCs w:val="30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sz w:val="30"/>
          <w:szCs w:val="30"/>
        </w:rPr>
      </w:pPr>
    </w:p>
    <w:p>
      <w:pPr>
        <w:jc w:val="center"/>
        <w:rPr>
          <w:rFonts w:hint="default" w:ascii="Times New Roman Regular" w:hAnsi="Times New Roman Regular" w:eastAsia="宋体" w:cs="Times New Roman Regular"/>
          <w:sz w:val="36"/>
          <w:szCs w:val="36"/>
        </w:rPr>
      </w:pPr>
    </w:p>
    <w:p>
      <w:pPr>
        <w:pStyle w:val="2"/>
        <w:rPr>
          <w:rFonts w:hint="default" w:ascii="Times New Roman Regular" w:hAnsi="Times New Roman Regular" w:cs="Times New Roman Regular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eastAsia" w:ascii="楷体" w:hAnsi="楷体" w:eastAsia="楷体" w:cs="楷体"/>
          <w:sz w:val="32"/>
          <w:szCs w:val="32"/>
          <w:lang w:val="en-US" w:eastAsia="zh-CN"/>
        </w:rPr>
      </w:pPr>
      <w:bookmarkStart w:id="0" w:name="_Toc1430632096"/>
      <w:r>
        <w:rPr>
          <w:rFonts w:hint="eastAsia" w:ascii="楷体" w:hAnsi="楷体" w:eastAsia="楷体" w:cs="楷体"/>
          <w:sz w:val="32"/>
          <w:szCs w:val="32"/>
        </w:rPr>
        <w:t>1</w:t>
      </w:r>
      <w:r>
        <w:rPr>
          <w:rFonts w:hint="eastAsia" w:ascii="楷体" w:hAnsi="楷体" w:eastAsia="楷体" w:cs="楷体"/>
          <w:sz w:val="32"/>
          <w:szCs w:val="32"/>
          <w:lang w:val="en-US" w:eastAsia="zh-CN"/>
        </w:rPr>
        <w:t>前言</w:t>
      </w:r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</w:pPr>
      <w:bookmarkStart w:id="8" w:name="_GoBack"/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在全球范围内对气候</w:t>
      </w:r>
      <w:bookmarkEnd w:id="8"/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变化的日益关注和碳排放管控的加强背景下，建立基于区块链技术的碳核算和碳交易系统变得愈发重要。本系统旨在促进企业的碳排放管理，帮助实现“双碳”目标，进而推动全球气候治理进程，对实现全球可持续发展目标具有重要意义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  <w:lang w:val="en-US" w:eastAsia="zh-CN"/>
        </w:rPr>
      </w:pPr>
      <w:bookmarkStart w:id="1" w:name="_Toc1406725660"/>
      <w:r>
        <w:rPr>
          <w:rFonts w:hint="default" w:ascii="楷体" w:hAnsi="楷体" w:eastAsia="楷体" w:cs="楷体"/>
          <w:sz w:val="32"/>
          <w:szCs w:val="32"/>
        </w:rPr>
        <w:t>2</w:t>
      </w:r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创意描述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系统提供企业碳核算申报、碳排放数据审核、碳额度交易等功能。企业用户可以通过系统界面提交碳排放报告，报告经过数据审核员审核后被记录在区块链上，确保数据不可篡改。第三方监管机构可以实时查看所有交易数据，保证监管的及时性和有效性。管理员则负责用户审核、分发碳币和碳额度等管理工作，确保系统运行的公平性和透明度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  <w:lang w:val="en-US" w:eastAsia="zh-CN"/>
        </w:rPr>
      </w:pPr>
      <w:bookmarkStart w:id="2" w:name="_Toc1190697797"/>
      <w:r>
        <w:rPr>
          <w:rFonts w:hint="default" w:ascii="楷体" w:hAnsi="楷体" w:eastAsia="楷体" w:cs="楷体"/>
          <w:sz w:val="32"/>
          <w:szCs w:val="32"/>
        </w:rPr>
        <w:t>3</w:t>
      </w:r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功能简介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kern w:val="0"/>
          <w:sz w:val="24"/>
        </w:rPr>
      </w:pPr>
      <w:r>
        <w:rPr>
          <w:rFonts w:hint="default" w:ascii="Times New Roman Regular" w:hAnsi="Times New Roman Regular" w:eastAsia="楷体" w:cs="Times New Roman Regular"/>
          <w:kern w:val="0"/>
          <w:sz w:val="24"/>
        </w:rPr>
        <w:t>系统提供企业碳核算申报、碳排放数据审核、碳额度交易等功能。其中，企业可以进行碳排放申报和交易；数据审核员负责审核并上链信息；第三方监管机构可以实时查看所有交易数据；管理员则负责用户审核和分发碳币碳额度等管理工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jc w:val="center"/>
        <w:textAlignment w:val="auto"/>
        <w:rPr>
          <w:rFonts w:hint="default" w:ascii="Times New Roman Regular" w:hAnsi="Times New Roman Regular" w:eastAsia="宋体" w:cs="Times New Roman Regular"/>
          <w:sz w:val="32"/>
          <w:szCs w:val="32"/>
        </w:rPr>
      </w:pPr>
      <w:r>
        <w:rPr>
          <w:rFonts w:hint="default" w:ascii="Times New Roman Regular" w:hAnsi="Times New Roman Regular" w:eastAsia="宋体" w:cs="Times New Roman Regular"/>
          <w:sz w:val="32"/>
          <w:szCs w:val="32"/>
        </w:rPr>
        <w:drawing>
          <wp:inline distT="0" distB="0" distL="0" distR="0">
            <wp:extent cx="5114290" cy="2559050"/>
            <wp:effectExtent l="0" t="0" r="16510" b="6350"/>
            <wp:docPr id="711559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9288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12" w:lineRule="auto"/>
        <w:ind w:firstLine="420" w:firstLineChars="200"/>
        <w:jc w:val="center"/>
        <w:rPr>
          <w:rFonts w:hint="default" w:ascii="Times New Roman Regular" w:hAnsi="Times New Roman Regular" w:eastAsia="宋体" w:cs="Times New Roman Regular"/>
          <w:sz w:val="32"/>
          <w:szCs w:val="32"/>
        </w:rPr>
      </w:pP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图1 </w:t>
      </w: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系统总体设计图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jc w:val="center"/>
        <w:textAlignment w:val="auto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1135" cy="2811145"/>
            <wp:effectExtent l="0" t="0" r="12065" b="825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12" w:lineRule="auto"/>
        <w:ind w:firstLine="420" w:firstLineChars="200"/>
        <w:jc w:val="center"/>
        <w:rPr>
          <w:rFonts w:hint="default" w:ascii="Times New Roman Regular" w:hAnsi="Times New Roman Regular" w:eastAsia="楷体" w:cs="Times New Roman Regular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14:textFill>
            <w14:solidFill>
              <w14:schemeClr w14:val="tx1"/>
            </w14:solidFill>
          </w14:textFill>
        </w:rPr>
        <w:t>图</w:t>
      </w:r>
      <w:r>
        <w:rPr>
          <w:rFonts w:hint="eastAsia" w:ascii="Times New Roman Regular" w:hAnsi="Times New Roman Regular" w:eastAsia="楷体" w:cs="Times New Roman Regular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系统架构图</w:t>
      </w:r>
    </w:p>
    <w:p>
      <w:pPr>
        <w:spacing w:before="156" w:beforeLines="50" w:after="156" w:afterLines="50" w:line="312" w:lineRule="auto"/>
        <w:jc w:val="center"/>
        <w:rPr>
          <w:rFonts w:hint="default" w:ascii="Times New Roman Regular" w:hAnsi="Times New Roman Regular" w:cs="Times New Roman Regular"/>
          <w:color w:val="FF0000"/>
        </w:rPr>
      </w:pPr>
      <w:r>
        <w:rPr>
          <w:rFonts w:hint="default" w:ascii="Times New Roman Regular" w:hAnsi="Times New Roman Regular" w:cs="Times New Roman Regular"/>
          <w:color w:val="FF0000"/>
        </w:rPr>
        <w:drawing>
          <wp:inline distT="0" distB="0" distL="114300" distR="114300">
            <wp:extent cx="5265420" cy="2660650"/>
            <wp:effectExtent l="0" t="0" r="17780" b="6350"/>
            <wp:docPr id="5" name="图片 5" descr="截屏2024-04-15 11.1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4-15 11.18.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12" w:lineRule="auto"/>
        <w:ind w:firstLine="420" w:firstLineChars="200"/>
        <w:jc w:val="center"/>
        <w:rPr>
          <w:rFonts w:hint="default" w:ascii="Times New Roman Regular" w:hAnsi="Times New Roman Regular" w:cs="Times New Roman Regular"/>
          <w:color w:val="FF0000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14:textFill>
            <w14:solidFill>
              <w14:schemeClr w14:val="tx1"/>
            </w14:solidFill>
          </w14:textFill>
        </w:rPr>
        <w:t>图</w:t>
      </w:r>
      <w:r>
        <w:rPr>
          <w:rFonts w:hint="eastAsia" w:ascii="Times New Roman Regular" w:hAnsi="Times New Roman Regular" w:eastAsia="楷体" w:cs="Times New Roman Regular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 Regular" w:hAnsi="Times New Roman Regular" w:eastAsia="楷体" w:cs="Times New Roman Regular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系统运行流程图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</w:rPr>
      </w:pPr>
      <w:bookmarkStart w:id="3" w:name="_Toc1805251433"/>
      <w:r>
        <w:rPr>
          <w:rFonts w:hint="default" w:ascii="楷体" w:hAnsi="楷体" w:eastAsia="楷体" w:cs="楷体"/>
          <w:sz w:val="32"/>
          <w:szCs w:val="32"/>
        </w:rPr>
        <w:t>4</w:t>
      </w:r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特色综述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 w:firstLineChars="0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</w:rPr>
        <w:t>本系统结合区块链技术与碳交易市场需求，具备以下创新特点：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</w:rPr>
        <w:t>利用智能合约自动化碳交易和管理流程，减少人工干预，提升效率。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</w:rPr>
        <w:t>引入抗量子多方安全计算，确保数据安全，抵抗未来量子计算威胁。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</w:rPr>
        <w:t>创设碳排放转换碳币奖励机制，激励企业减排以获经济利益，推动低碳技术进步。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</w:rPr>
        <w:t>设立信用管理与结算机制，通过信用评分系统增强企业责任感，确保市场稳健运行。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  <w:lang w:val="en-US" w:eastAsia="zh-CN"/>
        </w:rPr>
      </w:pPr>
      <w:bookmarkStart w:id="4" w:name="_Toc1211869615"/>
      <w:r>
        <w:rPr>
          <w:rFonts w:hint="default" w:ascii="楷体" w:hAnsi="楷体" w:eastAsia="楷体" w:cs="楷体"/>
          <w:sz w:val="32"/>
          <w:szCs w:val="32"/>
        </w:rPr>
        <w:t>5</w:t>
      </w:r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开发工具与技术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在本项目中，我们选用了Go语言（Goland）、Java和WebStorm这三种开发工具，结合SmartIDE开发环境，以支撑碳核算和碳交易系统的开发需求。这些技术的选择是基于它们各自的优势和项目的特定需求。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Go语言（Goland）：由于Go语言在处理并发操作时表现出色，我们使用它来处理系统中的高频交易数据流。Go的高效性能使得碳交易系统能够快速响应和处理大量交易，保证系统的稳定运行。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Java：Java在企业级应用开发中广泛使用，因其跨平台性和强大的库支持，我们用它来开发用户界面和后台逻辑。Java的稳定性和成熟的生态系统确保了系统的可维护性和可扩展性。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WebStorm：作为前端开发的主力工具，WebStorm用于开发系统的用户界面。它提供了强大的代码编辑、调试和测试功能，使前端开发更加高效，界面更加友好。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智能合约（SmartIDE）：智能合约是区块链技术的核心组成部分，我们利用SmartIDE来开发和部署智能合约。这些合约自动执行碳交易和管理流程，减少了人工干预的需要，提高了系统的透明度和效率。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通过这些工具和技术的整合使用，我们的系统不仅能够提供高效、安全的碳交易解决方案，而且能够确保数据的不可篡改性和系统操作的自动化</w:t>
      </w:r>
      <w:r>
        <w:rPr>
          <w:rFonts w:hint="eastAsia" w:ascii="Times New Roman Regular" w:hAnsi="Times New Roman Regular" w:eastAsia="楷体" w:cs="Times New Roman Regular"/>
          <w:sz w:val="24"/>
          <w:lang w:val="en-US" w:eastAsia="zh-CN"/>
        </w:rPr>
        <w:t>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  <w:lang w:val="en-US" w:eastAsia="zh-CN"/>
        </w:rPr>
      </w:pPr>
      <w:bookmarkStart w:id="5" w:name="_Toc1157711157"/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6应用对象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本系统适用于各级企业进行碳核算和碳权交易。为企业提供简洁直观的用户界面，帮助他们轻松管理碳排放数据和交易。数据审核员、第三方监管机构和系统管理员也是我们的用户群体，他们可以通过专门定制的功能模块，高效地完成自己的工作任务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  <w:lang w:val="en-US" w:eastAsia="zh-CN"/>
        </w:rPr>
      </w:pPr>
      <w:bookmarkStart w:id="6" w:name="_Toc1449573879"/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7应用环境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系统作为一个Web平台，用户可以通过网络访问企业端、数据审核员端、第三方监管机构端和管理员端。采用了</w:t>
      </w:r>
      <w:r>
        <w:rPr>
          <w:rFonts w:hint="eastAsia" w:ascii="Times New Roman Regular" w:hAnsi="Times New Roman Regular" w:eastAsia="楷体" w:cs="Times New Roman Regular"/>
          <w:sz w:val="24"/>
          <w:lang w:val="en-US" w:eastAsia="zh-CN"/>
        </w:rPr>
        <w:t>数字签名</w:t>
      </w: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加密技术保证数据传输的安全，同时，系统设计了灵活的访问控制，确保不同用户在授权的情况下才能访问敏感数据，保障系统的普遍适用性和便捷性。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0" w:lineRule="atLeast"/>
        <w:textAlignment w:val="auto"/>
        <w:rPr>
          <w:rFonts w:hint="default" w:ascii="楷体" w:hAnsi="楷体" w:eastAsia="楷体" w:cs="楷体"/>
          <w:sz w:val="32"/>
          <w:szCs w:val="32"/>
          <w:lang w:val="en-US" w:eastAsia="zh-CN"/>
        </w:rPr>
      </w:pPr>
      <w:bookmarkStart w:id="7" w:name="_Toc1933692785"/>
      <w:r>
        <w:rPr>
          <w:rFonts w:hint="default" w:ascii="楷体" w:hAnsi="楷体" w:eastAsia="楷体" w:cs="楷体"/>
          <w:sz w:val="32"/>
          <w:szCs w:val="32"/>
          <w:lang w:val="en-US" w:eastAsia="zh-CN"/>
        </w:rPr>
        <w:t>8结语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ind w:firstLine="420"/>
        <w:textAlignment w:val="auto"/>
        <w:rPr>
          <w:rFonts w:hint="default" w:ascii="Times New Roman Regular" w:hAnsi="Times New Roman Regular" w:eastAsia="楷体" w:cs="Times New Roman Regular"/>
          <w:sz w:val="24"/>
        </w:rPr>
      </w:pPr>
      <w:r>
        <w:rPr>
          <w:rFonts w:hint="default" w:ascii="Times New Roman Regular" w:hAnsi="Times New Roman Regular" w:eastAsia="楷体" w:cs="Times New Roman Regular"/>
          <w:sz w:val="24"/>
          <w:lang w:val="en-US" w:eastAsia="zh-CN"/>
        </w:rPr>
        <w:t>区块链技术在环境保护和碳交易领域展现出巨大潜力，本系统的开发和实施将有助于推进低碳经济的发展，实现碳减排目标，同时也为全球气候治理作出贡献。未来，我们期待看到本系统在更多行业中的应用，以及其带来的环境和社会价值。</w:t>
      </w:r>
    </w:p>
    <w:sectPr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EF" w:usb1="C0007841" w:usb2="00000009" w:usb3="00000000" w:csb0="400001FF" w:csb1="FFFF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简黑简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SimSong Regular">
    <w:panose1 w:val="02020300000000000000"/>
    <w:charset w:val="86"/>
    <w:family w:val="auto"/>
    <w:pitch w:val="default"/>
    <w:sig w:usb0="800002BF" w:usb1="38CF7CFA" w:usb2="00000016" w:usb3="00000000" w:csb0="0004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a4X5+z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kgka0MQIAAGE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JIJGtD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C6552A"/>
    <w:multiLevelType w:val="singleLevel"/>
    <w:tmpl w:val="A5C6552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g3ZGQ4NWRkOTkwNWFkY2ViMzgwMzk5YmY2ZGVjOWMifQ=="/>
  </w:docVars>
  <w:rsids>
    <w:rsidRoot w:val="00F40891"/>
    <w:rsid w:val="00143776"/>
    <w:rsid w:val="002A7F8C"/>
    <w:rsid w:val="004346F0"/>
    <w:rsid w:val="006340B0"/>
    <w:rsid w:val="006C1772"/>
    <w:rsid w:val="007753D6"/>
    <w:rsid w:val="008B0218"/>
    <w:rsid w:val="009711D7"/>
    <w:rsid w:val="009D1B6B"/>
    <w:rsid w:val="00B603DB"/>
    <w:rsid w:val="00C12813"/>
    <w:rsid w:val="00E42B29"/>
    <w:rsid w:val="00F40891"/>
    <w:rsid w:val="0FF2647C"/>
    <w:rsid w:val="3BFFA762"/>
    <w:rsid w:val="3CB3BFCD"/>
    <w:rsid w:val="3F9E71B8"/>
    <w:rsid w:val="47F0BF53"/>
    <w:rsid w:val="4DE478BF"/>
    <w:rsid w:val="4E7FBD5C"/>
    <w:rsid w:val="58105328"/>
    <w:rsid w:val="7CFFF171"/>
    <w:rsid w:val="7EEE6A08"/>
    <w:rsid w:val="7F9B7574"/>
    <w:rsid w:val="7FBE11F7"/>
    <w:rsid w:val="7FE8C956"/>
    <w:rsid w:val="BEFE0B8A"/>
    <w:rsid w:val="BFDF89FE"/>
    <w:rsid w:val="CF5E2964"/>
    <w:rsid w:val="D7FF989D"/>
    <w:rsid w:val="EFFE66A3"/>
    <w:rsid w:val="F3BE3906"/>
    <w:rsid w:val="F5FEC460"/>
    <w:rsid w:val="F7FF2B0F"/>
    <w:rsid w:val="F9BF9D38"/>
    <w:rsid w:val="FD0F2184"/>
    <w:rsid w:val="FDFD7883"/>
    <w:rsid w:val="FFAF441C"/>
    <w:rsid w:val="FFB41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qFormat="1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qFormat/>
    <w:uiPriority w:val="39"/>
    <w:pPr>
      <w:ind w:left="1260"/>
      <w:jc w:val="left"/>
    </w:pPr>
    <w:rPr>
      <w:rFonts w:eastAsiaTheme="minorHAnsi"/>
      <w:sz w:val="18"/>
      <w:szCs w:val="18"/>
    </w:rPr>
  </w:style>
  <w:style w:type="paragraph" w:styleId="6">
    <w:name w:val="toc 5"/>
    <w:basedOn w:val="1"/>
    <w:next w:val="1"/>
    <w:unhideWhenUsed/>
    <w:qFormat/>
    <w:uiPriority w:val="39"/>
    <w:pPr>
      <w:ind w:left="840"/>
      <w:jc w:val="left"/>
    </w:pPr>
    <w:rPr>
      <w:rFonts w:eastAsiaTheme="minorHAnsi"/>
      <w:sz w:val="18"/>
      <w:szCs w:val="18"/>
    </w:rPr>
  </w:style>
  <w:style w:type="paragraph" w:styleId="7">
    <w:name w:val="toc 3"/>
    <w:basedOn w:val="1"/>
    <w:next w:val="1"/>
    <w:unhideWhenUsed/>
    <w:qFormat/>
    <w:uiPriority w:val="39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8">
    <w:name w:val="toc 8"/>
    <w:basedOn w:val="1"/>
    <w:next w:val="1"/>
    <w:unhideWhenUsed/>
    <w:qFormat/>
    <w:uiPriority w:val="39"/>
    <w:pPr>
      <w:ind w:left="1470"/>
      <w:jc w:val="left"/>
    </w:pPr>
    <w:rPr>
      <w:rFonts w:eastAsiaTheme="minorHAnsi"/>
      <w:sz w:val="18"/>
      <w:szCs w:val="18"/>
    </w:rPr>
  </w:style>
  <w:style w:type="paragraph" w:styleId="9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unhideWhenUsed/>
    <w:qFormat/>
    <w:uiPriority w:val="39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12">
    <w:name w:val="toc 4"/>
    <w:basedOn w:val="1"/>
    <w:next w:val="1"/>
    <w:unhideWhenUsed/>
    <w:qFormat/>
    <w:uiPriority w:val="39"/>
    <w:pPr>
      <w:ind w:left="630"/>
      <w:jc w:val="left"/>
    </w:pPr>
    <w:rPr>
      <w:rFonts w:eastAsiaTheme="minorHAnsi"/>
      <w:sz w:val="18"/>
      <w:szCs w:val="18"/>
    </w:rPr>
  </w:style>
  <w:style w:type="paragraph" w:styleId="13">
    <w:name w:val="toc 6"/>
    <w:basedOn w:val="1"/>
    <w:next w:val="1"/>
    <w:unhideWhenUsed/>
    <w:qFormat/>
    <w:uiPriority w:val="39"/>
    <w:pPr>
      <w:ind w:left="1050"/>
      <w:jc w:val="left"/>
    </w:pPr>
    <w:rPr>
      <w:rFonts w:eastAsiaTheme="minorHAnsi"/>
      <w:sz w:val="18"/>
      <w:szCs w:val="18"/>
    </w:rPr>
  </w:style>
  <w:style w:type="paragraph" w:styleId="14">
    <w:name w:val="table of figures"/>
    <w:basedOn w:val="1"/>
    <w:next w:val="1"/>
    <w:unhideWhenUsed/>
    <w:qFormat/>
    <w:uiPriority w:val="99"/>
    <w:pPr>
      <w:ind w:left="420" w:hanging="420"/>
      <w:jc w:val="left"/>
    </w:pPr>
    <w:rPr>
      <w:rFonts w:eastAsiaTheme="minorHAnsi"/>
      <w:caps/>
      <w:sz w:val="20"/>
      <w:szCs w:val="20"/>
    </w:rPr>
  </w:style>
  <w:style w:type="paragraph" w:styleId="15">
    <w:name w:val="toc 2"/>
    <w:basedOn w:val="1"/>
    <w:next w:val="1"/>
    <w:unhideWhenUsed/>
    <w:qFormat/>
    <w:uiPriority w:val="39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16">
    <w:name w:val="toc 9"/>
    <w:basedOn w:val="1"/>
    <w:next w:val="1"/>
    <w:unhideWhenUsed/>
    <w:qFormat/>
    <w:uiPriority w:val="39"/>
    <w:pPr>
      <w:ind w:left="1680"/>
      <w:jc w:val="left"/>
    </w:pPr>
    <w:rPr>
      <w:rFonts w:eastAsiaTheme="minorHAnsi"/>
      <w:sz w:val="18"/>
      <w:szCs w:val="18"/>
    </w:rPr>
  </w:style>
  <w:style w:type="paragraph" w:styleId="1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0">
    <w:name w:val="Strong"/>
    <w:basedOn w:val="19"/>
    <w:qFormat/>
    <w:uiPriority w:val="22"/>
    <w:rPr>
      <w:b/>
    </w:rPr>
  </w:style>
  <w:style w:type="character" w:styleId="21">
    <w:name w:val="Hyperlink"/>
    <w:basedOn w:val="1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标题 1 字符"/>
    <w:basedOn w:val="1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3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28"/>
      <w:szCs w:val="28"/>
      <w14:ligatures w14:val="none"/>
    </w:rPr>
  </w:style>
  <w:style w:type="character" w:customStyle="1" w:styleId="25">
    <w:name w:val="标题 3 字符"/>
    <w:basedOn w:val="19"/>
    <w:link w:val="4"/>
    <w:qFormat/>
    <w:uiPriority w:val="9"/>
    <w:rPr>
      <w:b/>
      <w:bCs/>
      <w:sz w:val="32"/>
      <w:szCs w:val="32"/>
    </w:rPr>
  </w:style>
  <w:style w:type="paragraph" w:customStyle="1" w:styleId="26">
    <w:name w:val="_Style 9"/>
    <w:basedOn w:val="1"/>
    <w:qFormat/>
    <w:uiPriority w:val="34"/>
    <w:pPr>
      <w:ind w:firstLine="420" w:firstLineChars="200"/>
    </w:pPr>
    <w:rPr>
      <w:rFonts w:hint="eastAsia" w:ascii="Times New Roman" w:hAnsi="Times New Roman"/>
      <w:szCs w:val="20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349</Words>
  <Characters>1990</Characters>
  <Lines>16</Lines>
  <Paragraphs>4</Paragraphs>
  <TotalTime>3</TotalTime>
  <ScaleCrop>false</ScaleCrop>
  <LinksUpToDate>false</LinksUpToDate>
  <CharactersWithSpaces>2335</CharactersWithSpaces>
  <Application>WPS Office_6.5.1.8687_F1E327BC-269C-435d-A152-05C5408002CA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2023-11-19T14:50:00Z</dcterms:created>
  <dc:creator>hope Dragon</dc:creator>
  <cp:lastModifiedBy>时光吹老了少年的心°</cp:lastModifiedBy>
  <dcterms:modified xsi:type="dcterms:W3CDTF">2024-04-15T15:33:36Z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2052-6.5.1.8687</vt:lpwstr>
  </property>
  <property fmtid="{D5CDD505-2E9C-101B-9397-08002B2CF9AE}" pid="3" name="ICV">
    <vt:lpwstr>EDF5127041704C3B9D70CCF238C7C08A_12</vt:lpwstr>
  </property>
</Properties>
</file>